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09.png" ContentType="image/png"/>
  <Override PartName="/word/media/rId108.png" ContentType="image/png"/>
  <Override PartName="/word/media/rId105.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01</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(Table</w:t>
      </w:r>
      <w:r>
        <w:t xml:space="preserve"> </w:t>
      </w:r>
      <w:r>
        <w:t xml:space="preserve">1</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w:t>
      </w:r>
    </w:p>
    <w:p>
      <w:pPr>
        <w:pStyle w:val="BodyText"/>
      </w:pPr>
      <w:r>
        <w:t xml:space="preserve">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2</w:t>
      </w:r>
      <w:r>
        <w:t xml:space="preserve"> </w:t>
      </w:r>
      <w:r>
        <w:t xml:space="preserve">and Table</w:t>
      </w:r>
      <w:r>
        <w:t xml:space="preserve"> </w:t>
      </w:r>
      <w:r>
        <w:t xml:space="preserve">3</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4</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the Schnabel estimates were determined to provide the best estimates of abundance. Additionally, due to concerns about marked and released fish not immediately mixing back into preferred angling locales and/or being</w:t>
      </w:r>
      <w:r>
        <w:t xml:space="preserve"> </w:t>
      </w:r>
      <w:r>
        <w:t xml:space="preserve">“</w:t>
      </w:r>
      <w:r>
        <w:t xml:space="preserve">hook shy,</w:t>
      </w:r>
      <w:r>
        <w:t xml:space="preserve">”</w:t>
      </w:r>
      <w:r>
        <w:t xml:space="preserve"> </w:t>
      </w:r>
      <w:r>
        <w:t xml:space="preserve">we used the conservative delayed-mixing Schnabel estimates. Accordingly, the mean Northern Pikeminnow abundance for the two fall sampling events was 19,499 (95% CI: 9,952 - 41,597). For spring 2021, we estimated abundance by multiplying the mean fall abundance by the ratio between the spring CPUE and mean fall CPUEs (0.53), resulting in an estimate of 10,352 (95% CI: 5,284 - 22,084) Northern Pikeminnow in Deadwater Slough. Those estimates translate to linear densities of 10,422 and 5,533 Northern Pikeminnow per rkm.</w:t>
      </w:r>
    </w:p>
    <w:p>
      <w:pPr>
        <w:pStyle w:val="BodyText"/>
      </w:pPr>
      <w:r>
        <w:t xml:space="preserve">The lengths of Northern Pikeminnow captured ranged from 176 to 639 mm with an average TL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5</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estimated an average-size Northern Pikeminnow (</w:t>
      </w:r>
      <w:r>
        <w:rPr>
          <w:iCs/>
          <w:i/>
          <w:bCs/>
          <w:b/>
        </w:rPr>
        <w:t xml:space="preserve">value</w:t>
      </w:r>
      <w:r>
        <w:t xml:space="preserve"> </w:t>
      </w:r>
      <w:r>
        <w:t xml:space="preserve">mm) to consume</w:t>
      </w:r>
      <w:r>
        <w:t xml:space="preserve"> </w:t>
      </w:r>
      <w:r>
        <w:rPr>
          <w:iCs/>
          <w:i/>
          <w:bCs/>
          <w:b/>
        </w:rPr>
        <w:t xml:space="preserve">value</w:t>
      </w:r>
      <w:r>
        <w:t xml:space="preserve"> </w:t>
      </w:r>
      <w:r>
        <w:t xml:space="preserve">g of fish to maintain their body size, assuming 60% of their diet consists of fish prey (Figure</w:t>
      </w:r>
      <w:r>
        <w:t xml:space="preserve"> </w:t>
      </w:r>
      <w:r>
        <w:t xml:space="preserve">4</w:t>
      </w:r>
      <w:r>
        <w:t xml:space="preserve">). Fall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During the spring NRR emigration, we estimated an average-size Northern Pikeminnow (</w:t>
      </w:r>
      <w:r>
        <w:rPr>
          <w:iCs/>
          <w:i/>
          <w:bCs/>
          <w:b/>
        </w:rPr>
        <w:t xml:space="preserve">value</w:t>
      </w:r>
      <w:r>
        <w:t xml:space="preserve">) to consume</w:t>
      </w:r>
      <w:r>
        <w:t xml:space="preserve"> </w:t>
      </w:r>
      <w:r>
        <w:rPr>
          <w:iCs/>
          <w:i/>
          <w:bCs/>
          <w:b/>
        </w:rPr>
        <w:t xml:space="preserve">value</w:t>
      </w:r>
      <w:r>
        <w:t xml:space="preserve"> </w:t>
      </w:r>
      <w:r>
        <w:t xml:space="preserve">44.29 g of fish, assuming 60% of their diet is fish prey (Figure</w:t>
      </w:r>
      <w:r>
        <w:t xml:space="preserve"> </w:t>
      </w:r>
      <w:r>
        <w:t xml:space="preserve">4</w:t>
      </w:r>
      <w:r>
        <w:t xml:space="preserve">). Spring consumption ranged from</w:t>
      </w:r>
      <w:r>
        <w:t xml:space="preserve"> </w:t>
      </w:r>
      <w:r>
        <w:rPr>
          <w:iCs/>
          <w:i/>
          <w:bCs/>
          <w:b/>
        </w:rPr>
        <w:t xml:space="preserve">value</w:t>
      </w:r>
      <w:r>
        <w:t xml:space="preserve"> </w:t>
      </w:r>
      <w:r>
        <w:t xml:space="preserve">g for a diet of 30% fish to</w:t>
      </w:r>
      <w:r>
        <w:t xml:space="preserve"> </w:t>
      </w:r>
      <w:r>
        <w:rPr>
          <w:iCs/>
          <w:i/>
          <w:bCs/>
          <w:b/>
        </w:rPr>
        <w:t xml:space="preserve">value</w:t>
      </w:r>
      <w:r>
        <w:t xml:space="preserve"> </w:t>
      </w:r>
      <w:r>
        <w:t xml:space="preserve">g for a diet of 90% fish. Given estimated mean Northern Pikeminnow population sizes of</w:t>
      </w:r>
      <w:r>
        <w:t xml:space="preserve"> </w:t>
      </w:r>
      <w:r>
        <w:rPr>
          <w:iCs/>
          <w:i/>
          <w:bCs/>
          <w:b/>
        </w:rPr>
        <w:t xml:space="preserve">value</w:t>
      </w:r>
      <w:r>
        <w:t xml:space="preserve"> </w:t>
      </w:r>
      <w:r>
        <w:t xml:space="preserve">from fall estimates and</w:t>
      </w:r>
      <w:r>
        <w:t xml:space="preserve"> </w:t>
      </w:r>
      <w:r>
        <w:rPr>
          <w:iCs/>
          <w:i/>
          <w:bCs/>
          <w:b/>
        </w:rPr>
        <w:t xml:space="preserve">value</w:t>
      </w:r>
      <w:r>
        <w:t xml:space="preserve"> </w:t>
      </w:r>
      <w:r>
        <w:t xml:space="preserve">for spring 2021, and assuming 60% of their diet is fish, we estimate that Northern Pikeminnow can consume</w:t>
      </w:r>
      <w:r>
        <w:t xml:space="preserve"> </w:t>
      </w:r>
      <w:r>
        <w:rPr>
          <w:iCs/>
          <w:i/>
          <w:bCs/>
          <w:b/>
        </w:rPr>
        <w:t xml:space="preserve">value</w:t>
      </w:r>
      <w:r>
        <w:t xml:space="preserve"> </w:t>
      </w:r>
      <w:r>
        <w:t xml:space="preserve">metric tons of fish during the fall DSR emigration and an additional</w:t>
      </w:r>
      <w:r>
        <w:t xml:space="preserve"> </w:t>
      </w:r>
      <w:r>
        <w:rPr>
          <w:iCs/>
          <w:i/>
          <w:bCs/>
          <w:b/>
        </w:rPr>
        <w:t xml:space="preserve">value</w:t>
      </w:r>
      <w:r>
        <w:t xml:space="preserve"> </w:t>
      </w:r>
      <w:r>
        <w:t xml:space="preserve">metric tons during the spring NRR emigration in Deadwater Slough. In total, the Northern Pikeminnow population can consume</w:t>
      </w:r>
      <w:r>
        <w:t xml:space="preserve"> </w:t>
      </w:r>
      <w:r>
        <w:rPr>
          <w:iCs/>
          <w:i/>
          <w:bCs/>
          <w:b/>
        </w:rPr>
        <w:t xml:space="preserve">value</w:t>
      </w:r>
      <w:r>
        <w:t xml:space="preserve"> </w:t>
      </w:r>
      <w:r>
        <w:t xml:space="preserve">metric tons of fish during the DSR and NRR emigrations to maintain their population size, assuming 60% of their diet consists of fish.</w:t>
      </w:r>
    </w:p>
    <w:bookmarkEnd w:id="31"/>
    <w:bookmarkStart w:id="32" w:name="impacts-to-chinook-salmon-populations-1"/>
    <w:p>
      <w:pPr>
        <w:pStyle w:val="Heading2"/>
      </w:pPr>
      <w:r>
        <w:t xml:space="preserve">Impacts to Chinook Salmon Populations</w:t>
      </w:r>
    </w:p>
    <w:p>
      <w:pPr>
        <w:pStyle w:val="FirstParagraph"/>
      </w:pPr>
      <w:r>
        <w:t xml:space="preserve">Using the total g of fish consumed by the Northern Pikeminnow population (summing fall and spring surveys) we produced a sensitivity analysis for three Northern Pikeminnow diet scenarios where juvenile Chinook Salmn make up 30%, 50%, and 65% of total fish prey consumed (Figure</w:t>
      </w:r>
      <w:r>
        <w:t xml:space="preserve"> </w:t>
      </w:r>
      <w:r>
        <w:rPr>
          <w:iCs/>
          <w:i/>
          <w:bCs/>
          <w:b/>
        </w:rPr>
        <w:t xml:space="preserve">reference</w:t>
      </w:r>
      <w:r>
        <w:t xml:space="preserve">). Assuming that 50% of the total fish consumed are juvenile Chinook Salmon, we estimate between (30% fish scenario with CIs) and (90% fish scenario with CIs) juvenile Chinook Salmon will be consumed. We then used our estimates of total juvenile Chinook Salmon consumed to estimate</w:t>
      </w:r>
      <w:r>
        <w:t xml:space="preserve"> </w:t>
      </w:r>
      <w:r>
        <w:t xml:space="preserve">“</w:t>
      </w:r>
      <w:r>
        <w:t xml:space="preserve">adult equivalents</w:t>
      </w:r>
      <w:r>
        <w:t xml:space="preserve">”</w:t>
      </w:r>
      <w:r>
        <w:t xml:space="preserve"> </w:t>
      </w:r>
      <w:r>
        <w:t xml:space="preserve">using the Granite-to-Granite smolt-to-adult survival rate of</w:t>
      </w:r>
      <w:r>
        <w:t xml:space="preserve"> </w:t>
      </w:r>
      <w:r>
        <w:rPr>
          <w:iCs/>
          <w:i/>
          <w:bCs/>
          <w:b/>
        </w:rPr>
        <w:t xml:space="preserve">value</w:t>
      </w:r>
      <w:r>
        <w:t xml:space="preserve"> </w:t>
      </w:r>
      <w:r>
        <w:t xml:space="preserve">(SE:</w:t>
      </w:r>
      <w:r>
        <w:t xml:space="preserve"> </w:t>
      </w:r>
      <w:r>
        <w:rPr>
          <w:iCs/>
          <w:i/>
          <w:bCs/>
          <w:b/>
        </w:rPr>
        <w:t xml:space="preserve">value</w:t>
      </w:r>
      <w:r>
        <w:t xml:space="preserve">; Table</w:t>
      </w:r>
      <w:r>
        <w:t xml:space="preserve"> </w:t>
      </w:r>
      <w:r>
        <w:rPr>
          <w:iCs/>
          <w:i/>
          <w:bCs/>
          <w:b/>
        </w:rPr>
        <w:t xml:space="preserve">reference</w:t>
      </w:r>
      <w:r>
        <w:t xml:space="preserve">). Assuming predation in Deadwater Slough was reduced or eliminated, the juvenile consumption would be equivalent to</w:t>
      </w:r>
      <w:r>
        <w:t xml:space="preserve"> </w:t>
      </w:r>
      <w:r>
        <w:rPr>
          <w:iCs/>
          <w:i/>
          <w:bCs/>
          <w:b/>
        </w:rPr>
        <w:t xml:space="preserve">value</w:t>
      </w:r>
      <w:r>
        <w:t xml:space="preserve"> </w:t>
      </w:r>
      <w:r>
        <w:t xml:space="preserve">adults in the spring (range</w:t>
      </w:r>
      <w:r>
        <w:t xml:space="preserve"> </w:t>
      </w:r>
      <w:r>
        <w:rPr>
          <w:iCs/>
          <w:i/>
          <w:bCs/>
          <w:b/>
        </w:rPr>
        <w:t xml:space="preserve">value</w:t>
      </w:r>
      <w:r>
        <w:t xml:space="preserve"> </w:t>
      </w:r>
      <w:r>
        <w:t xml:space="preserve">-</w:t>
      </w:r>
      <w:r>
        <w:t xml:space="preserve"> </w:t>
      </w:r>
      <w:r>
        <w:rPr>
          <w:iCs/>
          <w:i/>
          <w:bCs/>
          <w:b/>
        </w:rPr>
        <w:t xml:space="preserve">value</w:t>
      </w:r>
      <w:r>
        <w:t xml:space="preserve">) and</w:t>
      </w:r>
      <w:r>
        <w:t xml:space="preserve"> </w:t>
      </w:r>
      <w:r>
        <w:rPr>
          <w:iCs/>
          <w:i/>
          <w:bCs/>
          <w:b/>
        </w:rPr>
        <w:t xml:space="preserve">value</w:t>
      </w:r>
      <w:r>
        <w:t xml:space="preserve"> </w:t>
      </w:r>
      <w:r>
        <w:t xml:space="preserve">adults (range</w:t>
      </w:r>
      <w:r>
        <w:t xml:space="preserve"> </w:t>
      </w:r>
      <w:r>
        <w:rPr>
          <w:iCs/>
          <w:i/>
          <w:bCs/>
          <w:b/>
        </w:rPr>
        <w:t xml:space="preserve">value</w:t>
      </w:r>
      <w:r>
        <w:t xml:space="preserve"> </w:t>
      </w:r>
      <w:r>
        <w:t xml:space="preserve">-</w:t>
      </w:r>
      <w:r>
        <w:t xml:space="preserve"> </w:t>
      </w:r>
      <w:r>
        <w:rPr>
          <w:iCs/>
          <w:i/>
          <w:bCs/>
          <w:b/>
        </w:rPr>
        <w:t xml:space="preserve">value</w:t>
      </w:r>
      <w:r>
        <w:t xml:space="preserve">) in the fall, totaling</w:t>
      </w:r>
      <w:r>
        <w:t xml:space="preserve"> </w:t>
      </w:r>
      <w:r>
        <w:rPr>
          <w:iCs/>
          <w:i/>
          <w:bCs/>
          <w:b/>
        </w:rPr>
        <w:t xml:space="preserve">value</w:t>
      </w:r>
      <w:r>
        <w:t xml:space="preserve"> </w:t>
      </w:r>
      <w:r>
        <w:t xml:space="preserve">adult Chinook Salmon.</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Bioenergetics model runs to estimate the grams of fish consumed during the DSR fall and NRR spring Chinook Salmon emigrations. The date ranges for each model run, the assumed proportion of fish in the diet, and the total grams of fish consumed by an individual Northern Pikeminnow to maintain its body weight for a given season are shown. The Northern Pikeminnow start/end weights were 598.7 and 430.7 g for the fall and spring seasons, respectively.</w:t>
      </w:r>
    </w:p>
    <w:tbl>
      <w:tblPr>
        <w:tblStyle w:val="Table"/>
        <w:tblW w:type="auto" w:w="0"/>
        <w:tblLook w:firstRow="1" w:lastRow="0" w:firstColumn="0" w:lastColumn="0" w:noHBand="0" w:noVBand="0" w:val="0020"/>
        <w:tblCaption w:val="Table 1: Bioenergetics model runs to estimate the grams of fish consumed during the DSR fall and NRR spring Chinook Salmon emigrations. The date ranges for each model run, the assumed proportion of fish in the diet, and the total grams of fish consumed by an individual Northern Pikeminnow to maintain its body weight for a given season are shown. The Northern Pikeminnow start/end weights were 598.7 and 430.7 g for the fall and spring seasons, respectively."/>
      </w:tblPr>
      <w:tblGrid>
        <w:gridCol w:w="1980"/>
        <w:gridCol w:w="1980"/>
        <w:gridCol w:w="1980"/>
        <w:gridCol w:w="1980"/>
      </w:tblGrid>
      <w:tr>
        <w:trPr>
          <w:tblHeader w:val="true"/>
        </w:trPr>
        <w:tc>
          <w:tcPr/>
          <w:p>
            <w:pPr>
              <w:pStyle w:val="Compact"/>
              <w:jc w:val="left"/>
            </w:pPr>
            <w:r>
              <w:t xml:space="preserve">Season</w:t>
            </w:r>
          </w:p>
        </w:tc>
        <w:tc>
          <w:tcPr/>
          <w:p>
            <w:pPr>
              <w:pStyle w:val="Compact"/>
              <w:jc w:val="left"/>
            </w:pPr>
            <w:r>
              <w:t xml:space="preserve">Date Range</w:t>
            </w:r>
          </w:p>
        </w:tc>
        <w:tc>
          <w:tcPr/>
          <w:p>
            <w:pPr>
              <w:pStyle w:val="Compact"/>
              <w:jc w:val="left"/>
            </w:pPr>
            <w:r>
              <w:t xml:space="preserve">% Fish in Diet</w:t>
            </w:r>
          </w:p>
        </w:tc>
        <w:tc>
          <w:tcPr/>
          <w:p>
            <w:pPr>
              <w:pStyle w:val="Compact"/>
              <w:jc w:val="right"/>
            </w:pPr>
            <w:r>
              <w:t xml:space="preserve">g Consumed</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30</w:t>
            </w:r>
          </w:p>
        </w:tc>
        <w:tc>
          <w:tcPr/>
          <w:p>
            <w:pPr>
              <w:pStyle w:val="Compact"/>
              <w:jc w:val="right"/>
            </w:pPr>
            <w:r>
              <w:t xml:space="preserve">38.90</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40</w:t>
            </w:r>
          </w:p>
        </w:tc>
        <w:tc>
          <w:tcPr/>
          <w:p>
            <w:pPr>
              <w:pStyle w:val="Compact"/>
              <w:jc w:val="right"/>
            </w:pPr>
            <w:r>
              <w:t xml:space="preserve">42.62</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50</w:t>
            </w:r>
          </w:p>
        </w:tc>
        <w:tc>
          <w:tcPr/>
          <w:p>
            <w:pPr>
              <w:pStyle w:val="Compact"/>
              <w:jc w:val="right"/>
            </w:pPr>
            <w:r>
              <w:t xml:space="preserve">45.23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60</w:t>
            </w:r>
          </w:p>
        </w:tc>
        <w:tc>
          <w:tcPr/>
          <w:p>
            <w:pPr>
              <w:pStyle w:val="Compact"/>
              <w:jc w:val="right"/>
            </w:pPr>
            <w:r>
              <w:t xml:space="preserve">47.11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70</w:t>
            </w:r>
          </w:p>
        </w:tc>
        <w:tc>
          <w:tcPr/>
          <w:p>
            <w:pPr>
              <w:pStyle w:val="Compact"/>
              <w:jc w:val="right"/>
            </w:pPr>
            <w:r>
              <w:t xml:space="preserve">48.63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80</w:t>
            </w:r>
          </w:p>
        </w:tc>
        <w:tc>
          <w:tcPr/>
          <w:p>
            <w:pPr>
              <w:pStyle w:val="Compact"/>
              <w:jc w:val="right"/>
            </w:pPr>
            <w:r>
              <w:t xml:space="preserve">49.81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90</w:t>
            </w:r>
          </w:p>
        </w:tc>
        <w:tc>
          <w:tcPr/>
          <w:p>
            <w:pPr>
              <w:pStyle w:val="Compact"/>
              <w:jc w:val="right"/>
            </w:pPr>
            <w:r>
              <w:t xml:space="preserve">50.73</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30</w:t>
            </w:r>
          </w:p>
        </w:tc>
        <w:tc>
          <w:tcPr/>
          <w:p>
            <w:pPr>
              <w:pStyle w:val="Compact"/>
              <w:jc w:val="right"/>
            </w:pPr>
            <w:r>
              <w:t xml:space="preserve">38.05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40</w:t>
            </w:r>
          </w:p>
        </w:tc>
        <w:tc>
          <w:tcPr/>
          <w:p>
            <w:pPr>
              <w:pStyle w:val="Compact"/>
              <w:jc w:val="right"/>
            </w:pPr>
            <w:r>
              <w:t xml:space="preserve">41.70</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50</w:t>
            </w:r>
          </w:p>
        </w:tc>
        <w:tc>
          <w:tcPr/>
          <w:p>
            <w:pPr>
              <w:pStyle w:val="Compact"/>
              <w:jc w:val="right"/>
            </w:pPr>
            <w:r>
              <w:t xml:space="preserve">44.29</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60</w:t>
            </w:r>
          </w:p>
        </w:tc>
        <w:tc>
          <w:tcPr/>
          <w:p>
            <w:pPr>
              <w:pStyle w:val="Compact"/>
              <w:jc w:val="right"/>
            </w:pPr>
            <w:r>
              <w:t xml:space="preserve">46.22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70</w:t>
            </w:r>
          </w:p>
        </w:tc>
        <w:tc>
          <w:tcPr/>
          <w:p>
            <w:pPr>
              <w:pStyle w:val="Compact"/>
              <w:jc w:val="right"/>
            </w:pPr>
            <w:r>
              <w:t xml:space="preserve">47.65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80</w:t>
            </w:r>
          </w:p>
        </w:tc>
        <w:tc>
          <w:tcPr/>
          <w:p>
            <w:pPr>
              <w:pStyle w:val="Compact"/>
              <w:jc w:val="right"/>
            </w:pPr>
            <w:r>
              <w:t xml:space="preserve">48.82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90</w:t>
            </w:r>
          </w:p>
        </w:tc>
        <w:tc>
          <w:tcPr/>
          <w:p>
            <w:pPr>
              <w:pStyle w:val="Compact"/>
              <w:jc w:val="right"/>
            </w:pPr>
            <w:r>
              <w:t xml:space="preserve">49.74</w:t>
            </w:r>
          </w:p>
        </w:tc>
      </w:tr>
    </w:tbl>
    <w:p>
      <w:r>
        <w:br w:type="page"/>
      </w:r>
    </w:p>
    <w:p>
      <w:pPr>
        <w:pStyle w:val="TableCaption"/>
      </w:pPr>
      <w:r>
        <w:t xml:space="preserve">Table 2: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2: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3: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3: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4: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4: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Confidence Interval</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p>
      <w:r>
        <w:br w:type="page"/>
      </w:r>
    </w:p>
    <w:p>
      <w:pPr>
        <w:pStyle w:val="SourceCode"/>
      </w:pPr>
      <w:r>
        <w:rPr>
          <w:rStyle w:val="NormalTok"/>
        </w:rPr>
        <w:t xml:space="preserve">impact_tbl </w:t>
      </w:r>
      <w:r>
        <w:rPr>
          <w:rStyle w:val="OtherTok"/>
        </w:rPr>
        <w:t xml:space="preserve">=</w:t>
      </w:r>
      <w:r>
        <w:rPr>
          <w:rStyle w:val="NormalTok"/>
        </w:rPr>
        <w:t xml:space="preserve"> 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juv_N,</w:t>
      </w:r>
      <w:r>
        <w:br/>
      </w:r>
      <w:r>
        <w:rPr>
          <w:rStyle w:val="NormalTok"/>
        </w:rPr>
        <w:t xml:space="preserve">         </w:t>
      </w:r>
      <w:r>
        <w:rPr>
          <w:rStyle w:val="AttributeTok"/>
        </w:rPr>
        <w:t xml:space="preserve">Lci =</w:t>
      </w:r>
      <w:r>
        <w:rPr>
          <w:rStyle w:val="NormalTok"/>
        </w:rPr>
        <w:t xml:space="preserve"> juv_Lci,</w:t>
      </w:r>
      <w:r>
        <w:br/>
      </w:r>
      <w:r>
        <w:rPr>
          <w:rStyle w:val="NormalTok"/>
        </w:rPr>
        <w:t xml:space="preserve">         </w:t>
      </w:r>
      <w:r>
        <w:rPr>
          <w:rStyle w:val="AttributeTok"/>
        </w:rPr>
        <w:t xml:space="preserve">Uci =</w:t>
      </w:r>
      <w:r>
        <w:rPr>
          <w:rStyle w:val="NormalTok"/>
        </w:rPr>
        <w:t xml:space="preserve"> juv_Uci)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"Juveniles"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w:t>
      </w:r>
      <w:r>
        <w:rPr>
          <w:rStyle w:val="SpecialCharTok"/>
        </w:rPr>
        <w:t xml:space="preserve">%&gt;%</w:t>
      </w:r>
      <w:r>
        <w:br/>
      </w:r>
      <w:r>
        <w:rPr>
          <w:rStyle w:val="NormalTok"/>
        </w:rPr>
        <w:t xml:space="preserve">    </w:t>
      </w:r>
      <w:r>
        <w:br/>
      </w:r>
      <w:r>
        <w:rPr>
          <w:rStyle w:val="NormalTok"/>
        </w:rPr>
        <w:t xml:space="preserve">  </w:t>
      </w:r>
      <w:r>
        <w:rPr>
          <w:rStyle w:val="FunctionTok"/>
        </w:rPr>
        <w:t xml:space="preserve">bind_rows</w:t>
      </w:r>
      <w:r>
        <w:rPr>
          <w:rStyle w:val="NormalTok"/>
        </w:rPr>
        <w:t xml:space="preserve">(impact_df </w:t>
      </w:r>
      <w:r>
        <w:rPr>
          <w:rStyle w:val="SpecialCharTok"/>
        </w:rPr>
        <w:t xml:space="preserve">%&gt;%</w:t>
      </w:r>
      <w:r>
        <w:br/>
      </w:r>
      <w:r>
        <w:rPr>
          <w:rStyle w:val="NormalTok"/>
        </w:rPr>
        <w:t xml:space="preserve">              </w:t>
      </w:r>
      <w:r>
        <w:rPr>
          <w:rStyle w:val="FunctionTok"/>
        </w:rPr>
        <w:t xml:space="preserve">select</w:t>
      </w:r>
      <w:r>
        <w:rPr>
          <w:rStyle w:val="NormalTok"/>
        </w:rPr>
        <w:t xml:space="preserve">(season,</w:t>
      </w:r>
      <w:r>
        <w:br/>
      </w:r>
      <w:r>
        <w:rPr>
          <w:rStyle w:val="NormalTok"/>
        </w:rPr>
        <w:t xml:space="preserve">                     perc_diet,</w:t>
      </w:r>
      <w:r>
        <w:br/>
      </w:r>
      <w:r>
        <w:rPr>
          <w:rStyle w:val="NormalTok"/>
        </w:rPr>
        <w:t xml:space="preserve">                     p_chnk,</w:t>
      </w:r>
      <w:r>
        <w:br/>
      </w:r>
      <w:r>
        <w:rPr>
          <w:rStyle w:val="NormalTok"/>
        </w:rPr>
        <w:t xml:space="preserve">                     </w:t>
      </w:r>
      <w:r>
        <w:rPr>
          <w:rStyle w:val="AttributeTok"/>
        </w:rPr>
        <w:t xml:space="preserve">N =</w:t>
      </w:r>
      <w:r>
        <w:rPr>
          <w:rStyle w:val="NormalTok"/>
        </w:rPr>
        <w:t xml:space="preserve"> adult_N,</w:t>
      </w:r>
      <w:r>
        <w:br/>
      </w:r>
      <w:r>
        <w:rPr>
          <w:rStyle w:val="NormalTok"/>
        </w:rPr>
        <w:t xml:space="preserve">                     </w:t>
      </w:r>
      <w:r>
        <w:rPr>
          <w:rStyle w:val="AttributeTok"/>
        </w:rPr>
        <w:t xml:space="preserve">Lci =</w:t>
      </w:r>
      <w:r>
        <w:rPr>
          <w:rStyle w:val="NormalTok"/>
        </w:rPr>
        <w:t xml:space="preserve"> adult_Lci,</w:t>
      </w:r>
      <w:r>
        <w:br/>
      </w:r>
      <w:r>
        <w:rPr>
          <w:rStyle w:val="NormalTok"/>
        </w:rPr>
        <w:t xml:space="preserve">                     </w:t>
      </w:r>
      <w:r>
        <w:rPr>
          <w:rStyle w:val="AttributeTok"/>
        </w:rPr>
        <w:t xml:space="preserve">Uci =</w:t>
      </w:r>
      <w:r>
        <w:rPr>
          <w:rStyle w:val="NormalTok"/>
        </w:rPr>
        <w:t xml:space="preserve"> adult_Uci) </w:t>
      </w:r>
      <w:r>
        <w:rPr>
          <w:rStyle w:val="SpecialCharTok"/>
        </w:rPr>
        <w:t xml:space="preserve">%&gt;%</w:t>
      </w:r>
      <w:r>
        <w:br/>
      </w:r>
      <w:r>
        <w:rPr>
          <w:rStyle w:val="NormalTok"/>
        </w:rPr>
        <w:t xml:space="preserve">              </w:t>
      </w:r>
      <w:r>
        <w:rPr>
          <w:rStyle w:val="FunctionTok"/>
        </w:rPr>
        <w:t xml:space="preserve">group_by</w:t>
      </w:r>
      <w:r>
        <w:rPr>
          <w:rStyle w:val="NormalTok"/>
        </w:rPr>
        <w:t xml:space="preserve">(perc_diet, p_chnk)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"Lci"</w:t>
      </w:r>
      <w:r>
        <w:rPr>
          <w:rStyle w:val="NormalTok"/>
        </w:rPr>
        <w:t xml:space="preserve">, </w:t>
      </w:r>
      <w:r>
        <w:rPr>
          <w:rStyle w:val="StringTok"/>
        </w:rPr>
        <w:t xml:space="preserve">"Uci"</w:t>
      </w:r>
      <w:r>
        <w:rPr>
          <w:rStyle w:val="NormalTok"/>
        </w:rPr>
        <w:t xml:space="preserve">),</w:t>
      </w:r>
      <w:r>
        <w:br/>
      </w:r>
      <w:r>
        <w:rPr>
          <w:rStyle w:val="NormalTok"/>
        </w:rPr>
        <w:t xml:space="preserve">                   sum),</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Stage =</w:t>
      </w:r>
      <w:r>
        <w:rPr>
          <w:rStyle w:val="NormalTok"/>
        </w:rPr>
        <w:t xml:space="preserve"> </w:t>
      </w:r>
      <w:r>
        <w:rPr>
          <w:rStyle w:val="StringTok"/>
        </w:rPr>
        <w:t xml:space="preserve">"Adult Equivalents"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p_chnk =</w:t>
      </w:r>
      <w:r>
        <w:rPr>
          <w:rStyle w:val="NormalTok"/>
        </w:rPr>
        <w:t xml:space="preserve"> p_chnk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perc_chnk =</w:t>
      </w:r>
      <w:r>
        <w:rPr>
          <w:rStyle w:val="NormalTok"/>
        </w:rPr>
        <w:t xml:space="preserve"> p_chnk) </w:t>
      </w:r>
      <w:r>
        <w:rPr>
          <w:rStyle w:val="SpecialCharTok"/>
        </w:rPr>
        <w:t xml:space="preserve">%&gt;%</w:t>
      </w:r>
      <w:r>
        <w:br/>
      </w:r>
      <w:r>
        <w:rPr>
          <w:rStyle w:val="NormalTok"/>
        </w:rPr>
        <w:t xml:space="preserve">  </w:t>
      </w:r>
      <w:r>
        <w:rPr>
          <w:rStyle w:val="FunctionTok"/>
        </w:rPr>
        <w:t xml:space="preserve">filter</w:t>
      </w:r>
      <w:r>
        <w:rPr>
          <w:rStyle w:val="NormalTok"/>
        </w:rPr>
        <w:t xml:space="preserve">(perc_chnk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50</w:t>
      </w:r>
      <w:r>
        <w:rPr>
          <w:rStyle w:val="NormalTok"/>
        </w:rPr>
        <w:t xml:space="preserve">, </w:t>
      </w:r>
      <w:r>
        <w:rPr>
          <w:rStyle w:val="DecValTok"/>
        </w:rPr>
        <w:t xml:space="preserve">65</w:t>
      </w:r>
      <w:r>
        <w:rPr>
          <w:rStyle w:val="NormalTok"/>
        </w:rPr>
        <w:t xml:space="preserve">)))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booktabs =</w:t>
      </w:r>
      <w:r>
        <w:rPr>
          <w:rStyle w:val="NormalTok"/>
        </w:rPr>
        <w:t xml:space="preserve"> T,</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font_size =</w:t>
      </w:r>
      <w:r>
        <w:rPr>
          <w:rStyle w:val="NormalTok"/>
        </w:rPr>
        <w:t xml:space="preserve"> </w:t>
      </w:r>
      <w:r>
        <w:rPr>
          <w:rStyle w:val="DecValTok"/>
        </w:rPr>
        <w:t xml:space="preserve">10</w:t>
      </w:r>
      <w:r>
        <w:rPr>
          <w:rStyle w:val="NormalTok"/>
        </w:rPr>
        <w:t xml:space="preserve">)</w:t>
      </w:r>
      <w:r>
        <w:br/>
      </w:r>
      <w:r>
        <w:br/>
      </w:r>
      <w:r>
        <w:rPr>
          <w:rStyle w:val="NormalTok"/>
        </w:rPr>
        <w:t xml:space="preserve">impact_tbl</w:t>
      </w:r>
    </w:p>
    <w:p>
      <w:pPr>
        <w:pStyle w:val="TableCaption"/>
      </w:pPr>
      <w:r>
        <w:t xml:space="preserve">Table 6: Estimates of juvenile fish consumed and adult equivalents for diet scenarios comprised of 10-90% fish. Estimates and 95% confidence intervals are calculated using Northern Pikeminnow abundance estimates of 28,144 (95% CI: 14,378 - 59,978) for fall and 14,897 (95% CI: 7,610 - 31,747) for spring.</w:t>
      </w:r>
      <w:r>
        <w:t xml:space="preserve"> </w:t>
      </w:r>
      <w:r>
        <w:t xml:space="preserve">‘</w:t>
      </w:r>
      <w:r>
        <w:t xml:space="preserve">Adult equivalents</w:t>
      </w:r>
      <w:r>
        <w:t xml:space="preserve">’</w:t>
      </w:r>
      <w:r>
        <w:t xml:space="preserve"> </w:t>
      </w:r>
      <w:r>
        <w:t xml:space="preserve">are estimated using a Lower Granite Dam smolt-to-adult rate (SAR) for Chinook Salmon from McCann et al. 2019.</w:t>
      </w:r>
    </w:p>
    <w:tbl>
      <w:tblPr>
        <w:tblStyle w:val="Table"/>
        <w:tblW w:type="auto" w:w="0"/>
        <w:tblLook w:firstRow="1" w:lastRow="0" w:firstColumn="0" w:lastColumn="0" w:noHBand="0" w:noVBand="0" w:val="0020"/>
        <w:tblCaption w:val="Table 6: Estimates of juvenile fish consumed and adult equivalents for diet scenarios comprised of 10-90% fish. Estimates and 95% confidence intervals are calculated using Northern Pikeminnow abundance estimates of 28,144 (95% CI: 14,378 - 59,978) for fall and 14,897 (95% CI: 7,610 - 31,747) for spring. ‘Adult equivalents’ are estimated using a Lower Granite Dam smolt-to-adult rate (SAR) for Chinook Salmon from McCann et al. 2019."/>
      </w:tblPr>
      <w:tblGrid>
        <w:gridCol w:w="1320"/>
        <w:gridCol w:w="1320"/>
        <w:gridCol w:w="1320"/>
        <w:gridCol w:w="1320"/>
        <w:gridCol w:w="1320"/>
        <w:gridCol w:w="1320"/>
      </w:tblGrid>
      <w:tr>
        <w:trPr>
          <w:tblHeader w:val="true"/>
        </w:trPr>
        <w:tc>
          <w:tcPr/>
          <w:p>
            <w:pPr>
              <w:pStyle w:val="Compact"/>
              <w:jc w:val="right"/>
            </w:pPr>
            <w:r>
              <w:t xml:space="preserve">perc_diet</w:t>
            </w:r>
          </w:p>
        </w:tc>
        <w:tc>
          <w:tcPr/>
          <w:p>
            <w:pPr>
              <w:pStyle w:val="Compact"/>
              <w:jc w:val="right"/>
            </w:pPr>
            <w:r>
              <w:t xml:space="preserve">perc_chnk</w:t>
            </w:r>
          </w:p>
        </w:tc>
        <w:tc>
          <w:tcPr/>
          <w:p>
            <w:pPr>
              <w:pStyle w:val="Compact"/>
              <w:jc w:val="right"/>
            </w:pPr>
            <w:r>
              <w:t xml:space="preserve">N</w:t>
            </w:r>
          </w:p>
        </w:tc>
        <w:tc>
          <w:tcPr/>
          <w:p>
            <w:pPr>
              <w:pStyle w:val="Compact"/>
              <w:jc w:val="right"/>
            </w:pPr>
            <w:r>
              <w:t xml:space="preserve">Lci</w:t>
            </w:r>
          </w:p>
        </w:tc>
        <w:tc>
          <w:tcPr/>
          <w:p>
            <w:pPr>
              <w:pStyle w:val="Compact"/>
              <w:jc w:val="right"/>
            </w:pPr>
            <w:r>
              <w:t xml:space="preserve">Uci</w:t>
            </w:r>
          </w:p>
        </w:tc>
        <w:tc>
          <w:tcPr/>
          <w:p>
            <w:pPr>
              <w:pStyle w:val="Compact"/>
              <w:jc w:val="left"/>
            </w:pPr>
            <w:r>
              <w:t xml:space="preserve">Stage</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32,933.9503</w:t>
            </w:r>
          </w:p>
        </w:tc>
        <w:tc>
          <w:tcPr/>
          <w:p>
            <w:pPr>
              <w:pStyle w:val="Compact"/>
              <w:jc w:val="right"/>
            </w:pPr>
            <w:r>
              <w:t xml:space="preserve">16,808.99910</w:t>
            </w:r>
          </w:p>
        </w:tc>
        <w:tc>
          <w:tcPr/>
          <w:p>
            <w:pPr>
              <w:pStyle w:val="Compact"/>
              <w:jc w:val="right"/>
            </w:pPr>
            <w:r>
              <w:t xml:space="preserve">70,257.6302</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54,889.9172</w:t>
            </w:r>
          </w:p>
        </w:tc>
        <w:tc>
          <w:tcPr/>
          <w:p>
            <w:pPr>
              <w:pStyle w:val="Compact"/>
              <w:jc w:val="right"/>
            </w:pPr>
            <w:r>
              <w:t xml:space="preserve">28,014.99850</w:t>
            </w:r>
          </w:p>
        </w:tc>
        <w:tc>
          <w:tcPr/>
          <w:p>
            <w:pPr>
              <w:pStyle w:val="Compact"/>
              <w:jc w:val="right"/>
            </w:pPr>
            <w:r>
              <w:t xml:space="preserve">117,096.0503</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71,356.8923</w:t>
            </w:r>
          </w:p>
        </w:tc>
        <w:tc>
          <w:tcPr/>
          <w:p>
            <w:pPr>
              <w:pStyle w:val="Compact"/>
              <w:jc w:val="right"/>
            </w:pPr>
            <w:r>
              <w:t xml:space="preserve">36,419.49805</w:t>
            </w:r>
          </w:p>
        </w:tc>
        <w:tc>
          <w:tcPr/>
          <w:p>
            <w:pPr>
              <w:pStyle w:val="Compact"/>
              <w:jc w:val="right"/>
            </w:pPr>
            <w:r>
              <w:t xml:space="preserve">152,224.8654</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36,086.6335</w:t>
            </w:r>
          </w:p>
        </w:tc>
        <w:tc>
          <w:tcPr/>
          <w:p>
            <w:pPr>
              <w:pStyle w:val="Compact"/>
              <w:jc w:val="right"/>
            </w:pPr>
            <w:r>
              <w:t xml:space="preserve">18,418.08179</w:t>
            </w:r>
          </w:p>
        </w:tc>
        <w:tc>
          <w:tcPr/>
          <w:p>
            <w:pPr>
              <w:pStyle w:val="Compact"/>
              <w:jc w:val="right"/>
            </w:pPr>
            <w:r>
              <w:t xml:space="preserve">76,983.2143</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60,144.3892</w:t>
            </w:r>
          </w:p>
        </w:tc>
        <w:tc>
          <w:tcPr/>
          <w:p>
            <w:pPr>
              <w:pStyle w:val="Compact"/>
              <w:jc w:val="right"/>
            </w:pPr>
            <w:r>
              <w:t xml:space="preserve">30,696.80299</w:t>
            </w:r>
          </w:p>
        </w:tc>
        <w:tc>
          <w:tcPr/>
          <w:p>
            <w:pPr>
              <w:pStyle w:val="Compact"/>
              <w:jc w:val="right"/>
            </w:pPr>
            <w:r>
              <w:t xml:space="preserve">128,305.3571</w:t>
            </w:r>
          </w:p>
        </w:tc>
        <w:tc>
          <w:tcPr/>
          <w:p>
            <w:pPr>
              <w:pStyle w:val="Compact"/>
              <w:jc w:val="left"/>
            </w:pPr>
            <w:r>
              <w:t xml:space="preserve">Juveniles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78,187.7060</w:t>
            </w:r>
          </w:p>
        </w:tc>
        <w:tc>
          <w:tcPr/>
          <w:p>
            <w:pPr>
              <w:pStyle w:val="Compact"/>
              <w:jc w:val="right"/>
            </w:pPr>
            <w:r>
              <w:t xml:space="preserve">39,905.84388</w:t>
            </w:r>
          </w:p>
        </w:tc>
        <w:tc>
          <w:tcPr/>
          <w:p>
            <w:pPr>
              <w:pStyle w:val="Compact"/>
              <w:jc w:val="right"/>
            </w:pPr>
            <w:r>
              <w:t xml:space="preserve">166,796.9642</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38,306.8917</w:t>
            </w:r>
          </w:p>
        </w:tc>
        <w:tc>
          <w:tcPr/>
          <w:p>
            <w:pPr>
              <w:pStyle w:val="Compact"/>
              <w:jc w:val="right"/>
            </w:pPr>
            <w:r>
              <w:t xml:space="preserve">19,551.26861</w:t>
            </w:r>
          </w:p>
        </w:tc>
        <w:tc>
          <w:tcPr/>
          <w:p>
            <w:pPr>
              <w:pStyle w:val="Compact"/>
              <w:jc w:val="right"/>
            </w:pPr>
            <w:r>
              <w:t xml:space="preserve">81,719.6664</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63,844.8196</w:t>
            </w:r>
          </w:p>
        </w:tc>
        <w:tc>
          <w:tcPr/>
          <w:p>
            <w:pPr>
              <w:pStyle w:val="Compact"/>
              <w:jc w:val="right"/>
            </w:pPr>
            <w:r>
              <w:t xml:space="preserve">32,585.44769</w:t>
            </w:r>
          </w:p>
        </w:tc>
        <w:tc>
          <w:tcPr/>
          <w:p>
            <w:pPr>
              <w:pStyle w:val="Compact"/>
              <w:jc w:val="right"/>
            </w:pPr>
            <w:r>
              <w:t xml:space="preserve">136,199.4441</w:t>
            </w:r>
          </w:p>
        </w:tc>
        <w:tc>
          <w:tcPr/>
          <w:p>
            <w:pPr>
              <w:pStyle w:val="Compact"/>
              <w:jc w:val="left"/>
            </w:pPr>
            <w:r>
              <w:t xml:space="preserve">Juveniles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82,998.2654</w:t>
            </w:r>
          </w:p>
        </w:tc>
        <w:tc>
          <w:tcPr/>
          <w:p>
            <w:pPr>
              <w:pStyle w:val="Compact"/>
              <w:jc w:val="right"/>
            </w:pPr>
            <w:r>
              <w:t xml:space="preserve">42,361.08199</w:t>
            </w:r>
          </w:p>
        </w:tc>
        <w:tc>
          <w:tcPr/>
          <w:p>
            <w:pPr>
              <w:pStyle w:val="Compact"/>
              <w:jc w:val="right"/>
            </w:pPr>
            <w:r>
              <w:t xml:space="preserve">177,059.2773</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39,924.5091</w:t>
            </w:r>
          </w:p>
        </w:tc>
        <w:tc>
          <w:tcPr/>
          <w:p>
            <w:pPr>
              <w:pStyle w:val="Compact"/>
              <w:jc w:val="right"/>
            </w:pPr>
            <w:r>
              <w:t xml:space="preserve">20,376.87649</w:t>
            </w:r>
          </w:p>
        </w:tc>
        <w:tc>
          <w:tcPr/>
          <w:p>
            <w:pPr>
              <w:pStyle w:val="Compact"/>
              <w:jc w:val="right"/>
            </w:pPr>
            <w:r>
              <w:t xml:space="preserve">85,170.5116</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66,540.8485</w:t>
            </w:r>
          </w:p>
        </w:tc>
        <w:tc>
          <w:tcPr/>
          <w:p>
            <w:pPr>
              <w:pStyle w:val="Compact"/>
              <w:jc w:val="right"/>
            </w:pPr>
            <w:r>
              <w:t xml:space="preserve">33,961.46082</w:t>
            </w:r>
          </w:p>
        </w:tc>
        <w:tc>
          <w:tcPr/>
          <w:p>
            <w:pPr>
              <w:pStyle w:val="Compact"/>
              <w:jc w:val="right"/>
            </w:pPr>
            <w:r>
              <w:t xml:space="preserve">141,950.8527</w:t>
            </w:r>
          </w:p>
        </w:tc>
        <w:tc>
          <w:tcPr/>
          <w:p>
            <w:pPr>
              <w:pStyle w:val="Compact"/>
              <w:jc w:val="left"/>
            </w:pPr>
            <w:r>
              <w:t xml:space="preserve">Juveniles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86,503.1031</w:t>
            </w:r>
          </w:p>
        </w:tc>
        <w:tc>
          <w:tcPr/>
          <w:p>
            <w:pPr>
              <w:pStyle w:val="Compact"/>
              <w:jc w:val="right"/>
            </w:pPr>
            <w:r>
              <w:t xml:space="preserve">44,149.89906</w:t>
            </w:r>
          </w:p>
        </w:tc>
        <w:tc>
          <w:tcPr/>
          <w:p>
            <w:pPr>
              <w:pStyle w:val="Compact"/>
              <w:jc w:val="right"/>
            </w:pPr>
            <w:r>
              <w:t xml:space="preserve">184,536.1085</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41,195.2085</w:t>
            </w:r>
          </w:p>
        </w:tc>
        <w:tc>
          <w:tcPr/>
          <w:p>
            <w:pPr>
              <w:pStyle w:val="Compact"/>
              <w:jc w:val="right"/>
            </w:pPr>
            <w:r>
              <w:t xml:space="preserve">21,025.42257</w:t>
            </w:r>
          </w:p>
        </w:tc>
        <w:tc>
          <w:tcPr/>
          <w:p>
            <w:pPr>
              <w:pStyle w:val="Compact"/>
              <w:jc w:val="right"/>
            </w:pPr>
            <w:r>
              <w:t xml:space="preserve">87,881.2804</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68,658.6808</w:t>
            </w:r>
          </w:p>
        </w:tc>
        <w:tc>
          <w:tcPr/>
          <w:p>
            <w:pPr>
              <w:pStyle w:val="Compact"/>
              <w:jc w:val="right"/>
            </w:pPr>
            <w:r>
              <w:t xml:space="preserve">35,042.37096</w:t>
            </w:r>
          </w:p>
        </w:tc>
        <w:tc>
          <w:tcPr/>
          <w:p>
            <w:pPr>
              <w:pStyle w:val="Compact"/>
              <w:jc w:val="right"/>
            </w:pPr>
            <w:r>
              <w:t xml:space="preserve">146,468.8007</w:t>
            </w:r>
          </w:p>
        </w:tc>
        <w:tc>
          <w:tcPr/>
          <w:p>
            <w:pPr>
              <w:pStyle w:val="Compact"/>
              <w:jc w:val="left"/>
            </w:pPr>
            <w:r>
              <w:t xml:space="preserve">Juveniles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89,256.2850</w:t>
            </w:r>
          </w:p>
        </w:tc>
        <w:tc>
          <w:tcPr/>
          <w:p>
            <w:pPr>
              <w:pStyle w:val="Compact"/>
              <w:jc w:val="right"/>
            </w:pPr>
            <w:r>
              <w:t xml:space="preserve">45,555.08224</w:t>
            </w:r>
          </w:p>
        </w:tc>
        <w:tc>
          <w:tcPr/>
          <w:p>
            <w:pPr>
              <w:pStyle w:val="Compact"/>
              <w:jc w:val="right"/>
            </w:pPr>
            <w:r>
              <w:t xml:space="preserve">190,409.4409</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42,198.7305</w:t>
            </w:r>
          </w:p>
        </w:tc>
        <w:tc>
          <w:tcPr/>
          <w:p>
            <w:pPr>
              <w:pStyle w:val="Compact"/>
              <w:jc w:val="right"/>
            </w:pPr>
            <w:r>
              <w:t xml:space="preserve">21,537.60529</w:t>
            </w:r>
          </w:p>
        </w:tc>
        <w:tc>
          <w:tcPr/>
          <w:p>
            <w:pPr>
              <w:pStyle w:val="Compact"/>
              <w:jc w:val="right"/>
            </w:pPr>
            <w:r>
              <w:t xml:space="preserve">90,022.0827</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70,331.2174</w:t>
            </w:r>
          </w:p>
        </w:tc>
        <w:tc>
          <w:tcPr/>
          <w:p>
            <w:pPr>
              <w:pStyle w:val="Compact"/>
              <w:jc w:val="right"/>
            </w:pPr>
            <w:r>
              <w:t xml:space="preserve">35,896.00882</w:t>
            </w:r>
          </w:p>
        </w:tc>
        <w:tc>
          <w:tcPr/>
          <w:p>
            <w:pPr>
              <w:pStyle w:val="Compact"/>
              <w:jc w:val="right"/>
            </w:pPr>
            <w:r>
              <w:t xml:space="preserve">150,036.8046</w:t>
            </w:r>
          </w:p>
        </w:tc>
        <w:tc>
          <w:tcPr/>
          <w:p>
            <w:pPr>
              <w:pStyle w:val="Compact"/>
              <w:jc w:val="left"/>
            </w:pPr>
            <w:r>
              <w:t xml:space="preserve">Juveniles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91,430.5827</w:t>
            </w:r>
          </w:p>
        </w:tc>
        <w:tc>
          <w:tcPr/>
          <w:p>
            <w:pPr>
              <w:pStyle w:val="Compact"/>
              <w:jc w:val="right"/>
            </w:pPr>
            <w:r>
              <w:t xml:space="preserve">46,664.81147</w:t>
            </w:r>
          </w:p>
        </w:tc>
        <w:tc>
          <w:tcPr/>
          <w:p>
            <w:pPr>
              <w:pStyle w:val="Compact"/>
              <w:jc w:val="right"/>
            </w:pPr>
            <w:r>
              <w:t xml:space="preserve">195,047.8459</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42,983.3589</w:t>
            </w:r>
          </w:p>
        </w:tc>
        <w:tc>
          <w:tcPr/>
          <w:p>
            <w:pPr>
              <w:pStyle w:val="Compact"/>
              <w:jc w:val="right"/>
            </w:pPr>
            <w:r>
              <w:t xml:space="preserve">21,938.06798</w:t>
            </w:r>
          </w:p>
        </w:tc>
        <w:tc>
          <w:tcPr/>
          <w:p>
            <w:pPr>
              <w:pStyle w:val="Compact"/>
              <w:jc w:val="right"/>
            </w:pPr>
            <w:r>
              <w:t xml:space="preserve">91,695.9218</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71,638.9315</w:t>
            </w:r>
          </w:p>
        </w:tc>
        <w:tc>
          <w:tcPr/>
          <w:p>
            <w:pPr>
              <w:pStyle w:val="Compact"/>
              <w:jc w:val="right"/>
            </w:pPr>
            <w:r>
              <w:t xml:space="preserve">36,563.44664</w:t>
            </w:r>
          </w:p>
        </w:tc>
        <w:tc>
          <w:tcPr/>
          <w:p>
            <w:pPr>
              <w:pStyle w:val="Compact"/>
              <w:jc w:val="right"/>
            </w:pPr>
            <w:r>
              <w:t xml:space="preserve">152,826.5364</w:t>
            </w:r>
          </w:p>
        </w:tc>
        <w:tc>
          <w:tcPr/>
          <w:p>
            <w:pPr>
              <w:pStyle w:val="Compact"/>
              <w:jc w:val="left"/>
            </w:pPr>
            <w:r>
              <w:t xml:space="preserve">Juveniles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93,130.6109</w:t>
            </w:r>
          </w:p>
        </w:tc>
        <w:tc>
          <w:tcPr/>
          <w:p>
            <w:pPr>
              <w:pStyle w:val="Compact"/>
              <w:jc w:val="right"/>
            </w:pPr>
            <w:r>
              <w:t xml:space="preserve">47,532.48063</w:t>
            </w:r>
          </w:p>
        </w:tc>
        <w:tc>
          <w:tcPr/>
          <w:p>
            <w:pPr>
              <w:pStyle w:val="Compact"/>
              <w:jc w:val="right"/>
            </w:pPr>
            <w:r>
              <w:t xml:space="preserve">198,674.4973</w:t>
            </w:r>
          </w:p>
        </w:tc>
        <w:tc>
          <w:tcPr/>
          <w:p>
            <w:pPr>
              <w:pStyle w:val="Compact"/>
              <w:jc w:val="left"/>
            </w:pPr>
            <w:r>
              <w:t xml:space="preserve">Juveniles</w:t>
            </w:r>
          </w:p>
        </w:tc>
      </w:tr>
      <w:tr>
        <w:tc>
          <w:tcPr/>
          <w:p>
            <w:pPr>
              <w:pStyle w:val="Compact"/>
              <w:jc w:val="right"/>
            </w:pPr>
            <w:r>
              <w:t xml:space="preserve">30</w:t>
            </w:r>
          </w:p>
        </w:tc>
        <w:tc>
          <w:tcPr/>
          <w:p>
            <w:pPr>
              <w:pStyle w:val="Compact"/>
              <w:jc w:val="right"/>
            </w:pPr>
            <w:r>
              <w:t xml:space="preserve">30</w:t>
            </w:r>
          </w:p>
        </w:tc>
        <w:tc>
          <w:tcPr/>
          <w:p>
            <w:pPr>
              <w:pStyle w:val="Compact"/>
              <w:jc w:val="right"/>
            </w:pPr>
            <w:r>
              <w:t xml:space="preserve">202.3088</w:t>
            </w:r>
          </w:p>
        </w:tc>
        <w:tc>
          <w:tcPr/>
          <w:p>
            <w:pPr>
              <w:pStyle w:val="Compact"/>
              <w:jc w:val="right"/>
            </w:pPr>
            <w:r>
              <w:t xml:space="preserve">86.49278</w:t>
            </w:r>
          </w:p>
        </w:tc>
        <w:tc>
          <w:tcPr/>
          <w:p>
            <w:pPr>
              <w:pStyle w:val="Compact"/>
              <w:jc w:val="right"/>
            </w:pPr>
            <w:r>
              <w:t xml:space="preserve">501.6471</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50</w:t>
            </w:r>
          </w:p>
        </w:tc>
        <w:tc>
          <w:tcPr/>
          <w:p>
            <w:pPr>
              <w:pStyle w:val="Compact"/>
              <w:jc w:val="right"/>
            </w:pPr>
            <w:r>
              <w:t xml:space="preserve">337.1814</w:t>
            </w:r>
          </w:p>
        </w:tc>
        <w:tc>
          <w:tcPr/>
          <w:p>
            <w:pPr>
              <w:pStyle w:val="Compact"/>
              <w:jc w:val="right"/>
            </w:pPr>
            <w:r>
              <w:t xml:space="preserve">144.15463</w:t>
            </w:r>
          </w:p>
        </w:tc>
        <w:tc>
          <w:tcPr/>
          <w:p>
            <w:pPr>
              <w:pStyle w:val="Compact"/>
              <w:jc w:val="right"/>
            </w:pPr>
            <w:r>
              <w:t xml:space="preserve">836.0784</w:t>
            </w:r>
          </w:p>
        </w:tc>
        <w:tc>
          <w:tcPr/>
          <w:p>
            <w:pPr>
              <w:pStyle w:val="Compact"/>
              <w:jc w:val="left"/>
            </w:pPr>
            <w:r>
              <w:t xml:space="preserve">Adult Equivalents</w:t>
            </w:r>
          </w:p>
        </w:tc>
      </w:tr>
      <w:tr>
        <w:tc>
          <w:tcPr/>
          <w:p>
            <w:pPr>
              <w:pStyle w:val="Compact"/>
              <w:jc w:val="right"/>
            </w:pPr>
            <w:r>
              <w:t xml:space="preserve">30</w:t>
            </w:r>
          </w:p>
        </w:tc>
        <w:tc>
          <w:tcPr/>
          <w:p>
            <w:pPr>
              <w:pStyle w:val="Compact"/>
              <w:jc w:val="right"/>
            </w:pPr>
            <w:r>
              <w:t xml:space="preserve">65</w:t>
            </w:r>
          </w:p>
        </w:tc>
        <w:tc>
          <w:tcPr/>
          <w:p>
            <w:pPr>
              <w:pStyle w:val="Compact"/>
              <w:jc w:val="right"/>
            </w:pPr>
            <w:r>
              <w:t xml:space="preserve">438.3358</w:t>
            </w:r>
          </w:p>
        </w:tc>
        <w:tc>
          <w:tcPr/>
          <w:p>
            <w:pPr>
              <w:pStyle w:val="Compact"/>
              <w:jc w:val="right"/>
            </w:pPr>
            <w:r>
              <w:t xml:space="preserve">187.40102</w:t>
            </w:r>
          </w:p>
        </w:tc>
        <w:tc>
          <w:tcPr/>
          <w:p>
            <w:pPr>
              <w:pStyle w:val="Compact"/>
              <w:jc w:val="right"/>
            </w:pPr>
            <w:r>
              <w:t xml:space="preserve">1,086.9020</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30</w:t>
            </w:r>
          </w:p>
        </w:tc>
        <w:tc>
          <w:tcPr/>
          <w:p>
            <w:pPr>
              <w:pStyle w:val="Compact"/>
              <w:jc w:val="right"/>
            </w:pPr>
            <w:r>
              <w:t xml:space="preserve">221.6753</w:t>
            </w:r>
          </w:p>
        </w:tc>
        <w:tc>
          <w:tcPr/>
          <w:p>
            <w:pPr>
              <w:pStyle w:val="Compact"/>
              <w:jc w:val="right"/>
            </w:pPr>
            <w:r>
              <w:t xml:space="preserve">94.77251</w:t>
            </w:r>
          </w:p>
        </w:tc>
        <w:tc>
          <w:tcPr/>
          <w:p>
            <w:pPr>
              <w:pStyle w:val="Compact"/>
              <w:jc w:val="right"/>
            </w:pPr>
            <w:r>
              <w:t xml:space="preserve">549.6685</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50</w:t>
            </w:r>
          </w:p>
        </w:tc>
        <w:tc>
          <w:tcPr/>
          <w:p>
            <w:pPr>
              <w:pStyle w:val="Compact"/>
              <w:jc w:val="right"/>
            </w:pPr>
            <w:r>
              <w:t xml:space="preserve">369.4589</w:t>
            </w:r>
          </w:p>
        </w:tc>
        <w:tc>
          <w:tcPr/>
          <w:p>
            <w:pPr>
              <w:pStyle w:val="Compact"/>
              <w:jc w:val="right"/>
            </w:pPr>
            <w:r>
              <w:t xml:space="preserve">157.95419</w:t>
            </w:r>
          </w:p>
        </w:tc>
        <w:tc>
          <w:tcPr/>
          <w:p>
            <w:pPr>
              <w:pStyle w:val="Compact"/>
              <w:jc w:val="right"/>
            </w:pPr>
            <w:r>
              <w:t xml:space="preserve">916.1141</w:t>
            </w:r>
          </w:p>
        </w:tc>
        <w:tc>
          <w:tcPr/>
          <w:p>
            <w:pPr>
              <w:pStyle w:val="Compact"/>
              <w:jc w:val="left"/>
            </w:pPr>
            <w:r>
              <w:t xml:space="preserve">Adult Equivalents</w:t>
            </w:r>
          </w:p>
        </w:tc>
      </w:tr>
      <w:tr>
        <w:tc>
          <w:tcPr/>
          <w:p>
            <w:pPr>
              <w:pStyle w:val="Compact"/>
              <w:jc w:val="right"/>
            </w:pPr>
            <w:r>
              <w:t xml:space="preserve">40</w:t>
            </w:r>
          </w:p>
        </w:tc>
        <w:tc>
          <w:tcPr/>
          <w:p>
            <w:pPr>
              <w:pStyle w:val="Compact"/>
              <w:jc w:val="right"/>
            </w:pPr>
            <w:r>
              <w:t xml:space="preserve">65</w:t>
            </w:r>
          </w:p>
        </w:tc>
        <w:tc>
          <w:tcPr/>
          <w:p>
            <w:pPr>
              <w:pStyle w:val="Compact"/>
              <w:jc w:val="right"/>
            </w:pPr>
            <w:r>
              <w:t xml:space="preserve">480.2966</w:t>
            </w:r>
          </w:p>
        </w:tc>
        <w:tc>
          <w:tcPr/>
          <w:p>
            <w:pPr>
              <w:pStyle w:val="Compact"/>
              <w:jc w:val="right"/>
            </w:pPr>
            <w:r>
              <w:t xml:space="preserve">205.34044</w:t>
            </w:r>
          </w:p>
        </w:tc>
        <w:tc>
          <w:tcPr/>
          <w:p>
            <w:pPr>
              <w:pStyle w:val="Compact"/>
              <w:jc w:val="right"/>
            </w:pPr>
            <w:r>
              <w:t xml:space="preserve">1,190.9483</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30</w:t>
            </w:r>
          </w:p>
        </w:tc>
        <w:tc>
          <w:tcPr/>
          <w:p>
            <w:pPr>
              <w:pStyle w:val="Compact"/>
              <w:jc w:val="right"/>
            </w:pPr>
            <w:r>
              <w:t xml:space="preserve">235.3141</w:t>
            </w:r>
          </w:p>
        </w:tc>
        <w:tc>
          <w:tcPr/>
          <w:p>
            <w:pPr>
              <w:pStyle w:val="Compact"/>
              <w:jc w:val="right"/>
            </w:pPr>
            <w:r>
              <w:t xml:space="preserve">100.60346</w:t>
            </w:r>
          </w:p>
        </w:tc>
        <w:tc>
          <w:tcPr/>
          <w:p>
            <w:pPr>
              <w:pStyle w:val="Compact"/>
              <w:jc w:val="right"/>
            </w:pPr>
            <w:r>
              <w:t xml:space="preserve">583.4872</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50</w:t>
            </w:r>
          </w:p>
        </w:tc>
        <w:tc>
          <w:tcPr/>
          <w:p>
            <w:pPr>
              <w:pStyle w:val="Compact"/>
              <w:jc w:val="right"/>
            </w:pPr>
            <w:r>
              <w:t xml:space="preserve">392.1901</w:t>
            </w:r>
          </w:p>
        </w:tc>
        <w:tc>
          <w:tcPr/>
          <w:p>
            <w:pPr>
              <w:pStyle w:val="Compact"/>
              <w:jc w:val="right"/>
            </w:pPr>
            <w:r>
              <w:t xml:space="preserve">167.67244</w:t>
            </w:r>
          </w:p>
        </w:tc>
        <w:tc>
          <w:tcPr/>
          <w:p>
            <w:pPr>
              <w:pStyle w:val="Compact"/>
              <w:jc w:val="right"/>
            </w:pPr>
            <w:r>
              <w:t xml:space="preserve">972.4787</w:t>
            </w:r>
          </w:p>
        </w:tc>
        <w:tc>
          <w:tcPr/>
          <w:p>
            <w:pPr>
              <w:pStyle w:val="Compact"/>
              <w:jc w:val="left"/>
            </w:pPr>
            <w:r>
              <w:t xml:space="preserve">Adult Equivalents</w:t>
            </w:r>
          </w:p>
        </w:tc>
      </w:tr>
      <w:tr>
        <w:tc>
          <w:tcPr/>
          <w:p>
            <w:pPr>
              <w:pStyle w:val="Compact"/>
              <w:jc w:val="right"/>
            </w:pPr>
            <w:r>
              <w:t xml:space="preserve">50</w:t>
            </w:r>
          </w:p>
        </w:tc>
        <w:tc>
          <w:tcPr/>
          <w:p>
            <w:pPr>
              <w:pStyle w:val="Compact"/>
              <w:jc w:val="right"/>
            </w:pPr>
            <w:r>
              <w:t xml:space="preserve">65</w:t>
            </w:r>
          </w:p>
        </w:tc>
        <w:tc>
          <w:tcPr/>
          <w:p>
            <w:pPr>
              <w:pStyle w:val="Compact"/>
              <w:jc w:val="right"/>
            </w:pPr>
            <w:r>
              <w:t xml:space="preserve">509.8472</w:t>
            </w:r>
          </w:p>
        </w:tc>
        <w:tc>
          <w:tcPr/>
          <w:p>
            <w:pPr>
              <w:pStyle w:val="Compact"/>
              <w:jc w:val="right"/>
            </w:pPr>
            <w:r>
              <w:t xml:space="preserve">217.97417</w:t>
            </w:r>
          </w:p>
        </w:tc>
        <w:tc>
          <w:tcPr/>
          <w:p>
            <w:pPr>
              <w:pStyle w:val="Compact"/>
              <w:jc w:val="right"/>
            </w:pPr>
            <w:r>
              <w:t xml:space="preserve">1,264.2223</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30</w:t>
            </w:r>
          </w:p>
        </w:tc>
        <w:tc>
          <w:tcPr/>
          <w:p>
            <w:pPr>
              <w:pStyle w:val="Compact"/>
              <w:jc w:val="right"/>
            </w:pPr>
            <w:r>
              <w:t xml:space="preserve">245.2509</w:t>
            </w:r>
          </w:p>
        </w:tc>
        <w:tc>
          <w:tcPr/>
          <w:p>
            <w:pPr>
              <w:pStyle w:val="Compact"/>
              <w:jc w:val="right"/>
            </w:pPr>
            <w:r>
              <w:t xml:space="preserve">104.85173</w:t>
            </w:r>
          </w:p>
        </w:tc>
        <w:tc>
          <w:tcPr/>
          <w:p>
            <w:pPr>
              <w:pStyle w:val="Compact"/>
              <w:jc w:val="right"/>
            </w:pPr>
            <w:r>
              <w:t xml:space="preserve">608.1266</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50</w:t>
            </w:r>
          </w:p>
        </w:tc>
        <w:tc>
          <w:tcPr/>
          <w:p>
            <w:pPr>
              <w:pStyle w:val="Compact"/>
              <w:jc w:val="right"/>
            </w:pPr>
            <w:r>
              <w:t xml:space="preserve">408.7515</w:t>
            </w:r>
          </w:p>
        </w:tc>
        <w:tc>
          <w:tcPr/>
          <w:p>
            <w:pPr>
              <w:pStyle w:val="Compact"/>
              <w:jc w:val="right"/>
            </w:pPr>
            <w:r>
              <w:t xml:space="preserve">174.75289</w:t>
            </w:r>
          </w:p>
        </w:tc>
        <w:tc>
          <w:tcPr/>
          <w:p>
            <w:pPr>
              <w:pStyle w:val="Compact"/>
              <w:jc w:val="right"/>
            </w:pPr>
            <w:r>
              <w:t xml:space="preserve">1,013.5444</w:t>
            </w:r>
          </w:p>
        </w:tc>
        <w:tc>
          <w:tcPr/>
          <w:p>
            <w:pPr>
              <w:pStyle w:val="Compact"/>
              <w:jc w:val="left"/>
            </w:pPr>
            <w:r>
              <w:t xml:space="preserve">Adult Equivalents</w:t>
            </w:r>
          </w:p>
        </w:tc>
      </w:tr>
      <w:tr>
        <w:tc>
          <w:tcPr/>
          <w:p>
            <w:pPr>
              <w:pStyle w:val="Compact"/>
              <w:jc w:val="right"/>
            </w:pPr>
            <w:r>
              <w:t xml:space="preserve">60</w:t>
            </w:r>
          </w:p>
        </w:tc>
        <w:tc>
          <w:tcPr/>
          <w:p>
            <w:pPr>
              <w:pStyle w:val="Compact"/>
              <w:jc w:val="right"/>
            </w:pPr>
            <w:r>
              <w:t xml:space="preserve">65</w:t>
            </w:r>
          </w:p>
        </w:tc>
        <w:tc>
          <w:tcPr/>
          <w:p>
            <w:pPr>
              <w:pStyle w:val="Compact"/>
              <w:jc w:val="right"/>
            </w:pPr>
            <w:r>
              <w:t xml:space="preserve">531.3769</w:t>
            </w:r>
          </w:p>
        </w:tc>
        <w:tc>
          <w:tcPr/>
          <w:p>
            <w:pPr>
              <w:pStyle w:val="Compact"/>
              <w:jc w:val="right"/>
            </w:pPr>
            <w:r>
              <w:t xml:space="preserve">227.17875</w:t>
            </w:r>
          </w:p>
        </w:tc>
        <w:tc>
          <w:tcPr/>
          <w:p>
            <w:pPr>
              <w:pStyle w:val="Compact"/>
              <w:jc w:val="right"/>
            </w:pPr>
            <w:r>
              <w:t xml:space="preserve">1,317.6077</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30</w:t>
            </w:r>
          </w:p>
        </w:tc>
        <w:tc>
          <w:tcPr/>
          <w:p>
            <w:pPr>
              <w:pStyle w:val="Compact"/>
              <w:jc w:val="right"/>
            </w:pPr>
            <w:r>
              <w:t xml:space="preserve">253.0566</w:t>
            </w:r>
          </w:p>
        </w:tc>
        <w:tc>
          <w:tcPr/>
          <w:p>
            <w:pPr>
              <w:pStyle w:val="Compact"/>
              <w:jc w:val="right"/>
            </w:pPr>
            <w:r>
              <w:t xml:space="preserve">108.18891</w:t>
            </w:r>
          </w:p>
        </w:tc>
        <w:tc>
          <w:tcPr/>
          <w:p>
            <w:pPr>
              <w:pStyle w:val="Compact"/>
              <w:jc w:val="right"/>
            </w:pPr>
            <w:r>
              <w:t xml:space="preserve">627.4818</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50</w:t>
            </w:r>
          </w:p>
        </w:tc>
        <w:tc>
          <w:tcPr/>
          <w:p>
            <w:pPr>
              <w:pStyle w:val="Compact"/>
              <w:jc w:val="right"/>
            </w:pPr>
            <w:r>
              <w:t xml:space="preserve">421.7610</w:t>
            </w:r>
          </w:p>
        </w:tc>
        <w:tc>
          <w:tcPr/>
          <w:p>
            <w:pPr>
              <w:pStyle w:val="Compact"/>
              <w:jc w:val="right"/>
            </w:pPr>
            <w:r>
              <w:t xml:space="preserve">180.31484</w:t>
            </w:r>
          </w:p>
        </w:tc>
        <w:tc>
          <w:tcPr/>
          <w:p>
            <w:pPr>
              <w:pStyle w:val="Compact"/>
              <w:jc w:val="right"/>
            </w:pPr>
            <w:r>
              <w:t xml:space="preserve">1,045.8030</w:t>
            </w:r>
          </w:p>
        </w:tc>
        <w:tc>
          <w:tcPr/>
          <w:p>
            <w:pPr>
              <w:pStyle w:val="Compact"/>
              <w:jc w:val="left"/>
            </w:pPr>
            <w:r>
              <w:t xml:space="preserve">Adult Equivalents</w:t>
            </w:r>
          </w:p>
        </w:tc>
      </w:tr>
      <w:tr>
        <w:tc>
          <w:tcPr/>
          <w:p>
            <w:pPr>
              <w:pStyle w:val="Compact"/>
              <w:jc w:val="right"/>
            </w:pPr>
            <w:r>
              <w:t xml:space="preserve">70</w:t>
            </w:r>
          </w:p>
        </w:tc>
        <w:tc>
          <w:tcPr/>
          <w:p>
            <w:pPr>
              <w:pStyle w:val="Compact"/>
              <w:jc w:val="right"/>
            </w:pPr>
            <w:r>
              <w:t xml:space="preserve">65</w:t>
            </w:r>
          </w:p>
        </w:tc>
        <w:tc>
          <w:tcPr/>
          <w:p>
            <w:pPr>
              <w:pStyle w:val="Compact"/>
              <w:jc w:val="right"/>
            </w:pPr>
            <w:r>
              <w:t xml:space="preserve">548.2894</w:t>
            </w:r>
          </w:p>
        </w:tc>
        <w:tc>
          <w:tcPr/>
          <w:p>
            <w:pPr>
              <w:pStyle w:val="Compact"/>
              <w:jc w:val="right"/>
            </w:pPr>
            <w:r>
              <w:t xml:space="preserve">234.40929</w:t>
            </w:r>
          </w:p>
        </w:tc>
        <w:tc>
          <w:tcPr/>
          <w:p>
            <w:pPr>
              <w:pStyle w:val="Compact"/>
              <w:jc w:val="right"/>
            </w:pPr>
            <w:r>
              <w:t xml:space="preserve">1,359.5439</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30</w:t>
            </w:r>
          </w:p>
        </w:tc>
        <w:tc>
          <w:tcPr/>
          <w:p>
            <w:pPr>
              <w:pStyle w:val="Compact"/>
              <w:jc w:val="right"/>
            </w:pPr>
            <w:r>
              <w:t xml:space="preserve">259.2211</w:t>
            </w:r>
          </w:p>
        </w:tc>
        <w:tc>
          <w:tcPr/>
          <w:p>
            <w:pPr>
              <w:pStyle w:val="Compact"/>
              <w:jc w:val="right"/>
            </w:pPr>
            <w:r>
              <w:t xml:space="preserve">110.82440</w:t>
            </w:r>
          </w:p>
        </w:tc>
        <w:tc>
          <w:tcPr/>
          <w:p>
            <w:pPr>
              <w:pStyle w:val="Compact"/>
              <w:jc w:val="right"/>
            </w:pPr>
            <w:r>
              <w:t xml:space="preserve">642.7674</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50</w:t>
            </w:r>
          </w:p>
        </w:tc>
        <w:tc>
          <w:tcPr/>
          <w:p>
            <w:pPr>
              <w:pStyle w:val="Compact"/>
              <w:jc w:val="right"/>
            </w:pPr>
            <w:r>
              <w:t xml:space="preserve">432.0352</w:t>
            </w:r>
          </w:p>
        </w:tc>
        <w:tc>
          <w:tcPr/>
          <w:p>
            <w:pPr>
              <w:pStyle w:val="Compact"/>
              <w:jc w:val="right"/>
            </w:pPr>
            <w:r>
              <w:t xml:space="preserve">184.70734</w:t>
            </w:r>
          </w:p>
        </w:tc>
        <w:tc>
          <w:tcPr/>
          <w:p>
            <w:pPr>
              <w:pStyle w:val="Compact"/>
              <w:jc w:val="right"/>
            </w:pPr>
            <w:r>
              <w:t xml:space="preserve">1,071.2790</w:t>
            </w:r>
          </w:p>
        </w:tc>
        <w:tc>
          <w:tcPr/>
          <w:p>
            <w:pPr>
              <w:pStyle w:val="Compact"/>
              <w:jc w:val="left"/>
            </w:pPr>
            <w:r>
              <w:t xml:space="preserve">Adult Equivalents</w:t>
            </w:r>
          </w:p>
        </w:tc>
      </w:tr>
      <w:tr>
        <w:tc>
          <w:tcPr/>
          <w:p>
            <w:pPr>
              <w:pStyle w:val="Compact"/>
              <w:jc w:val="right"/>
            </w:pPr>
            <w:r>
              <w:t xml:space="preserve">80</w:t>
            </w:r>
          </w:p>
        </w:tc>
        <w:tc>
          <w:tcPr/>
          <w:p>
            <w:pPr>
              <w:pStyle w:val="Compact"/>
              <w:jc w:val="right"/>
            </w:pPr>
            <w:r>
              <w:t xml:space="preserve">65</w:t>
            </w:r>
          </w:p>
        </w:tc>
        <w:tc>
          <w:tcPr/>
          <w:p>
            <w:pPr>
              <w:pStyle w:val="Compact"/>
              <w:jc w:val="right"/>
            </w:pPr>
            <w:r>
              <w:t xml:space="preserve">561.6458</w:t>
            </w:r>
          </w:p>
        </w:tc>
        <w:tc>
          <w:tcPr/>
          <w:p>
            <w:pPr>
              <w:pStyle w:val="Compact"/>
              <w:jc w:val="right"/>
            </w:pPr>
            <w:r>
              <w:t xml:space="preserve">240.11954</w:t>
            </w:r>
          </w:p>
        </w:tc>
        <w:tc>
          <w:tcPr/>
          <w:p>
            <w:pPr>
              <w:pStyle w:val="Compact"/>
              <w:jc w:val="right"/>
            </w:pPr>
            <w:r>
              <w:t xml:space="preserve">1,392.6627</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30</w:t>
            </w:r>
          </w:p>
        </w:tc>
        <w:tc>
          <w:tcPr/>
          <w:p>
            <w:pPr>
              <w:pStyle w:val="Compact"/>
              <w:jc w:val="right"/>
            </w:pPr>
            <w:r>
              <w:t xml:space="preserve">264.0410</w:t>
            </w:r>
          </w:p>
        </w:tc>
        <w:tc>
          <w:tcPr/>
          <w:p>
            <w:pPr>
              <w:pStyle w:val="Compact"/>
              <w:jc w:val="right"/>
            </w:pPr>
            <w:r>
              <w:t xml:space="preserve">112.88503</w:t>
            </w:r>
          </w:p>
        </w:tc>
        <w:tc>
          <w:tcPr/>
          <w:p>
            <w:pPr>
              <w:pStyle w:val="Compact"/>
              <w:jc w:val="right"/>
            </w:pPr>
            <w:r>
              <w:t xml:space="preserve">654.7188</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50</w:t>
            </w:r>
          </w:p>
        </w:tc>
        <w:tc>
          <w:tcPr/>
          <w:p>
            <w:pPr>
              <w:pStyle w:val="Compact"/>
              <w:jc w:val="right"/>
            </w:pPr>
            <w:r>
              <w:t xml:space="preserve">440.0683</w:t>
            </w:r>
          </w:p>
        </w:tc>
        <w:tc>
          <w:tcPr/>
          <w:p>
            <w:pPr>
              <w:pStyle w:val="Compact"/>
              <w:jc w:val="right"/>
            </w:pPr>
            <w:r>
              <w:t xml:space="preserve">188.14172</w:t>
            </w:r>
          </w:p>
        </w:tc>
        <w:tc>
          <w:tcPr/>
          <w:p>
            <w:pPr>
              <w:pStyle w:val="Compact"/>
              <w:jc w:val="right"/>
            </w:pPr>
            <w:r>
              <w:t xml:space="preserve">1,091.1980</w:t>
            </w:r>
          </w:p>
        </w:tc>
        <w:tc>
          <w:tcPr/>
          <w:p>
            <w:pPr>
              <w:pStyle w:val="Compact"/>
              <w:jc w:val="left"/>
            </w:pPr>
            <w:r>
              <w:t xml:space="preserve">Adult Equivalents</w:t>
            </w:r>
          </w:p>
        </w:tc>
      </w:tr>
      <w:tr>
        <w:tc>
          <w:tcPr/>
          <w:p>
            <w:pPr>
              <w:pStyle w:val="Compact"/>
              <w:jc w:val="right"/>
            </w:pPr>
            <w:r>
              <w:t xml:space="preserve">90</w:t>
            </w:r>
          </w:p>
        </w:tc>
        <w:tc>
          <w:tcPr/>
          <w:p>
            <w:pPr>
              <w:pStyle w:val="Compact"/>
              <w:jc w:val="right"/>
            </w:pPr>
            <w:r>
              <w:t xml:space="preserve">65</w:t>
            </w:r>
          </w:p>
        </w:tc>
        <w:tc>
          <w:tcPr/>
          <w:p>
            <w:pPr>
              <w:pStyle w:val="Compact"/>
              <w:jc w:val="right"/>
            </w:pPr>
            <w:r>
              <w:t xml:space="preserve">572.0888</w:t>
            </w:r>
          </w:p>
        </w:tc>
        <w:tc>
          <w:tcPr/>
          <w:p>
            <w:pPr>
              <w:pStyle w:val="Compact"/>
              <w:jc w:val="right"/>
            </w:pPr>
            <w:r>
              <w:t xml:space="preserve">244.58424</w:t>
            </w:r>
          </w:p>
        </w:tc>
        <w:tc>
          <w:tcPr/>
          <w:p>
            <w:pPr>
              <w:pStyle w:val="Compact"/>
              <w:jc w:val="right"/>
            </w:pPr>
            <w:r>
              <w:t xml:space="preserve">1,418.5573</w:t>
            </w:r>
          </w:p>
        </w:tc>
        <w:tc>
          <w:tcPr/>
          <w:p>
            <w:pPr>
              <w:pStyle w:val="Compact"/>
              <w:jc w:val="left"/>
            </w:pPr>
            <w:r>
              <w:t xml:space="preserve">Adult Equivalents</w:t>
            </w:r>
          </w:p>
        </w:tc>
      </w:tr>
      <w:tr>
        <w:tc>
          <w:tcPr/>
          <w:p>
            <w:pPr>
              <w:pStyle w:val="Compact"/>
              <w:jc w:val="righ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3"/>
    <w:bookmarkStart w:id="111"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r>
        <w:br w:type="page"/>
      </w:r>
    </w:p>
    <w:p>
      <w:pPr>
        <w:pStyle w:val="CaptionedFigure"/>
      </w:pPr>
      <w:r>
        <w:drawing>
          <wp:inline>
            <wp:extent cx="5504749" cy="3669832"/>
            <wp:effectExtent b="0" l="0" r="0" t="0"/>
            <wp:docPr descr="Figure 2: Estimates of abundance of Northern Pikeminnow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110" w:name="colophon"/>
    <w:p>
      <w:pPr>
        <w:pStyle w:val="Heading3"/>
      </w:pPr>
      <w:r>
        <w:t xml:space="preserve">Colophon</w:t>
      </w:r>
    </w:p>
    <w:p>
      <w:pPr>
        <w:pStyle w:val="FirstParagraph"/>
      </w:pPr>
      <w:r>
        <w:t xml:space="preserve">This report was generated on 2022-02-01 09:20:39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[9e6ed5a] 2022-02-01: added length-weight section to code</w:t>
      </w:r>
    </w:p>
    <w:bookmarkEnd w:id="110"/>
    <w:bookmarkEnd w:id="111"/>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2022-02-01T16:20:42Z</dcterms:created>
  <dcterms:modified xsi:type="dcterms:W3CDTF">2022-02-01T16:20:42Z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